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Чуб В.В.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Программа спецкурса СУНЦ МГУ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«Биология растений»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(Анатомия, морфология, физиология, генетика растений)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Тесты, задачи, контрольные работы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Модуль 1. Химический состав и строение растительной клетки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(12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Особенности строения клетки высших растений.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Связь строения раст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тельной клетки с функцией фотосинтеза. Отличия от клеток животных. Теория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биогенеза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1.2.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Пластидный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 аппарат растительной клетки.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Пропластиды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как пластиды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ристематических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клеток. Хлоропласты: строма,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тилакоиды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ламеллы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граны, 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мен), внутренняя и внешняя мембраны, межмембранное пространство. Собственный геном и аппарат биосинтеза белка.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Этиопласты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геронтопласты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как производные пластиды фотосинтезирующих тканей. Хромопласты и их экологическая роль. Ра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личия между амилопластами и лейкопластами.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Нефотосинтетические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функции пл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стид.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1.3.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Активные формы кислорода (АФК).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Способы образования АФК в раст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тельной клетке: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синглетный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кислород, супероксид анион-радикал, перекись водор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да, гидроксил-радикал. Системы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инактивации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активных форм кислорода.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Антиокс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датнтые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системы растительной клетки.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Пероксисомы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митохондрии.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1.4.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Симпласт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апопласт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Плазмодесмы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их строение. Транспорт веществ через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плазмодесмы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Вакуоль и ее функции.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1.5.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Клеточная стенка.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Целлюлоза и особенности ее биосинтеза.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Сшивочные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каны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Пектины. Роль кальция в определении механических свойств клеточной сте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ки. Рост растяжением.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1.6.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Деление клеток.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Фазы митоза. Особенности цитокинеза у высших растений. Механизмы расхождения хромосом при митозе. Типы митоза: открытый, закрытый (полузакрытый) митоз. Направление веретена деления: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плевромитоз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ортомитоз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Вторично упрощенный митоз у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динофлагеллят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E776EC"/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Модуль 2. Жизненные циклы растений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(20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kern w:val="0"/>
          <w:sz w:val="24"/>
          <w:szCs w:val="24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2.1. 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Митоз.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Открытие митоза. Фазы клеточного цикла: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1;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2;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0 и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2.2.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Мейоз.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Фазы мейоза. Удвоение ДНК, обмен участками хромосом. Расхожд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ние хромосом в первом делении мейоза (редукционное деление). Расхождение во втором делении мейоза (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эквационное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деление). Генетические следствия кроссинг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вера. Сцепленное наследование признаков.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Чередование ядерных фаз в жизненном цикле.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Гаплофаза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диплофаза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Слияние гамет: плазмогамия и кариогамия.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Гетерокарион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(дикарион). Редукционное деление и споры. Половое и бесполое поколение.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2.4.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Жизненные циклы с преобладанием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гаплофазы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Одноклеточные зелёные водоросли (хламидомонада). Нитчатые водоросли (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улотрикс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спирогира). Настоящие мхи. Печёночники. Решение генетических задач для организмов с преобладание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плофазы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lastRenderedPageBreak/>
        <w:t>2.5.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Переход к жизненным циклам с преобладанием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диплофазы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Изоморфная смена поколений. Модели эволюционного перехода от изоморфной смены покол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ний к преобладанию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диплофазы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Особенности генетики признаков организмов и изоморфной сменой поколений.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2.6.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Жизненные циклы с преобладанием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диплофазы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Плауны, папоротники и хвощи. Особенности генетики признаков спорофита: популяции обоеполых гамет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фитов. Голосеменные. 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2.7.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Двойное оплодотворение.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Особенности оплодотворения у цветковых раст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ний. Ткани семени. Развитие и строение плода и семени.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2.8.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Полиплоидизация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Искусственная и естественная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полиплоидизация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Дальн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родственное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скрещивание с образованием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аллополиплоидов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Происхождение и 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нетика культурных пшениц. Наиболее известные примеры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триплоидов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2.9.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Жизненные циклы с преобладанием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гетерокариона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Базидиальные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грибы. Жизненный цикл шляпочных грибов. Усложнение жизненного цикла у паразитических грибов. Несовершенные грибы: как они возникают. Жизненный цикл грибов и ге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графия.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Модуль 3. Строение вегетативных органов растения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(16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3.1.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Общее представление о морфологии растений.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Идеальное растение. Те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минология как «система координат» в морфологии растений. Правила взаимного прикрепления органов.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3.2. 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Принципы роста растения.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Типы меристем. «Создание формы и анатомии» в зоне дифференцировки. Расположение старых и новых частей на растении. Ан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томические строение меристемы.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3.3.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Пространственная организация однодольного и двудольного растения.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Сходства и различия. Проводящая система как «архитектор» растения. Вторичное утолщение – главный признак двудольных. Связь морфологических и анатомических признаков. Сравнительный анализ однодольных и двудольных на микроскопическом и на макроуровне.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3.4.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Листовые серии и принципы их описания.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Филлом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– «идеальный» орган листовой природы. Разнообразие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филломов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катафилл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зелёный лист,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брактея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, ч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шелистик, лепесток, листочек простого околоцветника, тычинка, плодолистик. Фи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лотаксис. Числа Фибоначчи в описании филлотаксиса. «Начало координат» в лист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вой серии. Семядоли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предлистья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Типы филлотаксиса. Состав листовых серий.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3.5.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Видоизменения побегов.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Клубень, луковица, клубнелуковица, столон, почка. Сохранение общей архитектуры побега при модификациях. Тип видоизмененного побега, расположение органов и тип филлотаксиса. Диаграмма пространственного расположения органов в видоизмененных побегах. Преобразование филлотаксиса луковиц в схемы строения побега (на примере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Амариллосовых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).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3.6.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Направление роста в пространстве.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Факторы, влияющие на направление роста. Рост относительно вектора силы тяжести: ортотропный, плагиотропный,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геотропный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Вторичное изменение роста под тяжестью образовавшихся побегов. Апикальное доминирование и его снятие. Типы ветвления, связанные с апикальным доминированием: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акротонное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базитонное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Равномерное и неравномерное ветвл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ние. Ритм ветвления. Типы нарастания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побеговой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системы. Архитектурные модели растений. Определение по безлистным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олиственным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ветвям растения их возраста, сопоставление морфологического и анатомического метода оценки возраста ветвей. Главные признаки роста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побеговых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систем. Жизненные формы.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3.7.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Лист и его модификации.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Простые и сложные листья. Видоизменения лист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ев. Взаимосвязь строения листа и его функции. Листья суккулентов.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Модуль 4. Строение и функции листа. Фотосинтез.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lastRenderedPageBreak/>
        <w:t>(20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4.1.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Анатомическое строение листьев С-3 растений.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Эпидермис: основные клетки, трихомы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устьичный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аппарат. Столбчатый и губчатый мезофилл. Провод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щие пучки. Клетки-спутницы, ситовидные элементы флоэмы. Ксилема. Взаимосвязь анатомии стебля и анатомии листа.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4.2.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Пигменты фотосинтеза.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Разделение пигментов методом хроматографии. Принципы строения молекулы хлорофилла. Разнообразие хлорофиллов.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Феофитин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Каротиноиды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их классификация. Каротины и ксантофиллы.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Ксантофилловый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цикл и его значение для зеленых растений. Функции пигментов фотосинтеза.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Световая фаза фотосинтеза.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Мембраны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тилакоидов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как место протекания световой фазы фотосинтеза. Пигмент-белковые комплексы.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Светособирающий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плекс, фотосистема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фотосистема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Преобразование энергии в световой фазе фотосинтеза. Электрон-транспортная цепь. Образование кислорода в световой ф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зе. Итоги световой фазы – синтез АТФ и НАДФ*Н.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4.4.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Темновая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 фаза фотосинтеза.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Цикл Кальвина: стадии фиксации углекисл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ты, восстановления и регенерации углеродных скелетов.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РубисКО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RubisCO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) – кл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чевой фермент цикла Кальвина. Продукты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темновой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фазы фотосинтеза. Взаим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связь цикла Кальвина и световой стадии фотосинтеза.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4.5.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Фотодыхание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Образование С-2 скелетов в ходе окисления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рибулозобис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фосфата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Цикл превращения С-2 соединений в С-3. Токсичные промежуточные пр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дукты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фотодыхания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Участие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пероксисом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митохондрий в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фотодыхании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Значение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фотодыхания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4.6.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Анатомическое строение листьев С-4 растений.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Мезофилл и обкладка с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судистого пучка. Разнообразие вариантов строения листа у С-4 растений. С-4 фот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синтез как адаптация к умеренно-засушливому климату.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4.7.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Первичная фиксация углекислоты у С-4 растений.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Обмен веществами между клетками мезофилла и обкладки.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Декарбоксилирование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в С-4 цикле. Место протекания цикла Кальвина у С-4 растений. Биохимическая специализация клеток мезофилла и обкладки.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4.8.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САМ-фотосинтез как адаптация к сильной засухе.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Первичная фиксация у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лекислоты в ночное время. Накопление яблочной кислоты. Реакции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декарбоксил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рования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вторичной фиксации углекислоты в дневное время.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4.9.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Пластичность функции фотосинтеза.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Факультативные и облигатные САМ-растения. Смена генераций листьев в течение сезона. Распределение типов фот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синтеза между различными частями растения.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 xml:space="preserve">Модуль </w:t>
      </w: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5. Корень и его физиологические функции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8"/>
          <w:szCs w:val="28"/>
          <w:lang w:eastAsia="ru-RU"/>
        </w:rPr>
        <w:t>(12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5.1.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Понятие о водном потенциале.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Термодинамические показатели воды. 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тивность, химический потенциал, водный потенциал. Причины возникновения осм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тических явлений на биологических мембранах. Физико-химические модели клетки: «клеточка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Траубе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». Роль клеточной стенки. Тургор. Плазмолиз. Решение задач олимпиадного уровня.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5.2. 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Поток воды.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Сопротивление водному потоку. Проницаемость мембран для различных веществ.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Аквапорины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 Ионные каналы. Коллективное выполнение осм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тических функций тканями корня.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Ризодерма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, экзодерма, первичная кора, эндоде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ма, центральный цилиндр, перицикл, ксилема, флоэма. Специализация клеток пер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цикла. Корневое давление.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5.3.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Проводящая система.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Капиллярные силы, силы поверхностного натяжения, адгезии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когезии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воды. Проблема эмболии в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ксилемном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токе. Строение ксилемы.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Трахеиды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настоящие сосуды. Дифференцировка проводящих пучков.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lastRenderedPageBreak/>
        <w:t>5.4.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Лист как верхний концевой двигатель водного потока.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Устьица: разноо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разие строения, формирование в процессе развития,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устьичные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движения. Мех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низмы открывания и закрывания устьиц. Гуттация.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5.5.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Минеральное питание и другие функции корня.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Макроэлементы и микр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элементы. Поглощение веществ корнем. Роль корня в метаболизме азота и серы. Гормональные функции корня: синтез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цитокининов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стриголактонов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, этилена. Рост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вые реакции корня в ответ на различные стимулы.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Модуль 6. Цветок. Строение, генетическая регуляция развития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(8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Times New Roman"/>
          <w:kern w:val="0"/>
          <w:sz w:val="24"/>
          <w:szCs w:val="24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6.1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Строение цветка.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Околоцветник: чашечка и венчик. Генеративные органы: андроцей и гинецей.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Фолиарная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теория Гёте о природе органов цветка. Два принц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па геометрической организации цветков: спиральный и круговой. Отображение стр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ения цветка в формуле и на диаграмме. Принцип чередования органов.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6.2.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Генетическая регуляция цветения.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АВС/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ABCDE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-модель развития цветка. Принципы взаимодействия транскрипционных факторов друг с другом, приводящие к разнообразию строения цветка. Эволюция АВС-системы.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6.3.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Управление структурой цветка.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Использование сильных промоторов (35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CaMV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) и орган-специфических промоторов (на примерах генов АВС-системы) в ген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тической инженерии растений.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Репортерные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гены, «включение» и «выключение» 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нов в определенных частях организма.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Индуцибельные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промоторы. Генетическая хирургия (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абласт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). Система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BARNASE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/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BARSTAR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Модуль 7. Биология опыления растений. Пол у растений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(8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7.1.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Самонесовместимость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Открытие явления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Ч.Дарвином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Самонесовмест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мость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у примул: две морфы. Триморфная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самонесовместимость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на примере де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бенника. Генетика наследования.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-локус: концепция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супергена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Спорофитный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метофитный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контроль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самонесовместимости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7.2.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Проявление пола у растений.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 диморфной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самонесовместимости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сп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рофитному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контролю пола. Цитоплазматическая мужская стерильность: признак, к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дируемый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митохондриальной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ДНК. Взаимодействие ядра и митохондрий.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Модуль 8. Двойное оплодотворение. Развитие плода и семени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ru-RU"/>
        </w:rPr>
        <w:t>(12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eastAsia="Times New Roman"/>
          <w:b/>
          <w:kern w:val="0"/>
          <w:sz w:val="24"/>
          <w:szCs w:val="24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8.1.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ab/>
        <w:t xml:space="preserve">Двойное оплодотворение.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Открытие двойного оплодотворения у Цветковых растений. Генотипы яйцеклетки, центральной клетки и окружающих тк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ней до и после оплодотворения.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8.2.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ab/>
        <w:t>Строение семязачатка.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Интегументы: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битегмические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унитегмические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атегмические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семязачатки. Степень изогнутости: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анатропные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ортотропные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камп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лотропные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семязачатки. Нуцеллус.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Археспориальная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клетка и мейоз. Формирование зародышевого мешка.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Преемственность структур цветка, плода и семени. Зародыш, эндосперм, перисперм, семенная кожура и другие покровы семени.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8.3.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ab/>
        <w:t>Семенная кожура.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Функции распространения семян: ариллусы, летучие выросты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элайосомы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. Разрастание плацент при плодах.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8.4.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ab/>
        <w:t>Понятие плодолистика.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Апокарпные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ценокарпные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гинецеи /плоды.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Санкарпный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паракарпный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лизикарпный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гинецей. Определение типа гинецея на срезе плода и завязи.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8.5.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Околоплодник.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Анатомическое строение (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экзокарп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мезокарп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энд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карп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). Типы гинецея и соответствующие типы плодов. 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lastRenderedPageBreak/>
        <w:t>8.6.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Органы, сохраняющиеся при плодах.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Чашечка, цветоложе,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гипантий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, плодоножка и др. Соплодия. Примеры плодов в разных семействах. Условность д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ления на сочные и сухие плоды.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Модуль 9. Регуляция роста и развития растений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(12 часов)</w:t>
      </w:r>
    </w:p>
    <w:p w:rsidR="00E776EC" w:rsidRDefault="00E776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222222"/>
          <w:kern w:val="0"/>
          <w:lang w:eastAsia="ru-RU"/>
        </w:rPr>
      </w:pP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9.1.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Ауксины.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Открытие ауксинов. Роль ауксинов в системе целого растения. Ф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зиологические эффекты ауксинов: рост растяжением, фото- и геотропизмы,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ризог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нез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апикальное доминирование, дифференцировка сосудов ксилемы,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аттрагиру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щий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эффект. Использование ауксинов в сельском хозяйстве. Механизмы восприятия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ауксинового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сигнала.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9.2.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Цитокинины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Открытие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цитокининов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Роль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цитокининов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в системе целого растения. Физиологические эффекты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цитокининов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геммагенез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открывание устьиц, дифференцировка сосудов флоэмы, синтез хлорофилла и белков, деление клеток,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аттрагирующий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эффект. Использование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цитокининов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в сельском хозяйстве. Мех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низмы восприятия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цитокининового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сигнала.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Взаимоделйствие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ауксинов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цитокин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нов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9.3.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Гиббереллины.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Открытие гиббереллинов. Роль гиббереллинов в системе ц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лого растения. Физиологические эффекты гиббереллинов: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интеркалярный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рост, пр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растание семян и почек, мобилизация запасных питательных веществ. Использов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ние гиббереллинов в сельском хозяйстве. Ингибиторы действия гиббереллинов  и искусственная карликовость. Механизмы восприятия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гиббереллинового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сигнала.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9.4.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Абсцизовая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 xml:space="preserve"> кислота (АБК).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Роль АБК в системе целого растения. Физиол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гические эффекты АБК: торможение роста, закрывание устьиц, переход в состояние покоя семян и почек, созревание сухих плодов. Взаимодействие гиббереллинов и АБК. Использование АБК в сельском хозяйстве. Механизмы восприятия АБК-сигнала.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9.5.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Этилен.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Открытие физиологического действия этилена. Тройной ответ пр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ростков на этилен. Роль этилена в системе целого растения. Физиологические э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фекты этилена: торможение роста, листопад, адаптация к механическим стрессам, созревание сочных плодов. Индукция цветения у ананасов. Использование этилена в сельском хозяйстве. Механизмы восприятия этиленового сигнала.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9.6.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Другие гормоны.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Брассиностероиды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Жасмонаты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. Салициловая кислота.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Стриголактоны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9.7.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Фоторецепторы растений.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Фитохромы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восприятие в красной части спектра.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Криптохромы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фототропины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как рецепторы синего света. Эффекты, вызываемые светом разного спектрального состава и интенсивности.</w:t>
      </w:r>
    </w:p>
    <w:p w:rsidR="00E776EC" w:rsidRDefault="0062224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>9.8.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ru-RU"/>
        </w:rPr>
        <w:tab/>
        <w:t>Индукция цветения.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 Факторы, регулирующие цветение растений. Фотопери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дизм. Яровизация. Физиологический контроль развития.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Флориген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 xml:space="preserve">, механизмы его синтеза и действия на растение. Гиббереллины в регуляции цветения. Работы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М.Х.Чайлахяна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</w:rPr>
        <w:t>.</w:t>
      </w:r>
    </w:p>
    <w:sectPr w:rsidR="00E776EC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EC"/>
    <w:rsid w:val="0062224C"/>
    <w:rsid w:val="006D32FE"/>
    <w:rsid w:val="00E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2018-10-04T10:17:00Z</dcterms:created>
  <dcterms:modified xsi:type="dcterms:W3CDTF">2018-10-04T10:17:00Z</dcterms:modified>
</cp:coreProperties>
</file>